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t>广播电视新闻专栏代表作基本情况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554"/>
        <w:gridCol w:w="3213"/>
        <w:gridCol w:w="1525"/>
        <w:gridCol w:w="2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  <w:jc w:val="center"/>
        </w:trPr>
        <w:tc>
          <w:tcPr>
            <w:tcW w:w="151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6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《新闻三剑客》12月1日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51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2023年12月1日</w:t>
            </w:r>
          </w:p>
          <w:p>
            <w:pPr>
              <w:spacing w:line="3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10时05分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43分47秒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5" w:hRule="atLeast"/>
          <w:jc w:val="center"/>
        </w:trPr>
        <w:tc>
          <w:tcPr>
            <w:tcW w:w="965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介</w:t>
            </w:r>
          </w:p>
        </w:tc>
        <w:tc>
          <w:tcPr>
            <w:tcW w:w="73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本期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节目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聚焦民生热点，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新闻性强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有高度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有深度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有力度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有温度，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不仅为百姓排忧解难，答疑解惑，更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促进相关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政府部门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改进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工作，推进民生项目的建设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充分体现栏目组以人民为中心的新闻报道和服务理念。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本期节目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关注国家部委政策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在福州落地的实际情况，邀请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监管部门上线解读群众关心的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政策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此外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记者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独家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追踪报道福建省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民生工程“长者食堂”存在的问题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推动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问题的解决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形成了一组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有追踪实效的舆论监督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报道。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5" w:hRule="atLeast"/>
          <w:jc w:val="center"/>
        </w:trPr>
        <w:tc>
          <w:tcPr>
            <w:tcW w:w="965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采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过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程</w:t>
            </w:r>
          </w:p>
        </w:tc>
        <w:tc>
          <w:tcPr>
            <w:tcW w:w="73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本期节目聚焦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多个民生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热点话题。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报道福建省民生工程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“长者食堂”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存在建设标准不一，造成民生项目在各社区落地后口碑不一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的问题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。三路记者历时一个月调查采访，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受到省市民政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部门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高度重视，出台举措进行整改，建章立制规范“长者食堂”建设标准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节目还报道了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栏目组联合多部门开展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“同心共护食品安全”活动，聚焦“生鲜灯”退出市场首日情况，连线福州市市场监督管理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相关负责人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解读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规定。“反诈剑客行”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版块揭示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微信诈骗新手段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做出反诈提醒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节目还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联合福建新闻频道《现场》栏目共同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追踪报道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福州闽侯一小区业主入住11年依然无法办证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问题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“三剑客公益行”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版块，报道栏目组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走进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宁德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福安民族实验小学建设“爱心书屋”的情况。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0" w:hRule="atLeast"/>
          <w:jc w:val="center"/>
        </w:trPr>
        <w:tc>
          <w:tcPr>
            <w:tcW w:w="965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73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仿宋_GB2312" w:hAnsi="华文仿宋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本期节目受到福建省民政厅、福州市民政局、福州市市场监督管理局、福州市公安局等部门的肯定。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</w:rPr>
              <w:t>其中，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独家调查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“长者食堂”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存在的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问题，受到省市民政部门高度重视，被曝光的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“长者食堂”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被责令全部整改，同时省市民政部门建章立制，制定出台规范标准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记者的相关建议被纳入福建省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“长者食堂”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标准化建设实施意见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促进了省重点民生项目的规范和完善。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记者回访福州市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“长者食堂”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时，许多社区居民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对“长者食堂”软硬件的完善表示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由衷称赞。</w:t>
            </w:r>
            <w:bookmarkStart w:id="0" w:name="_GoBack"/>
            <w:bookmarkEnd w:id="0"/>
          </w:p>
        </w:tc>
      </w:tr>
    </w:tbl>
    <w:p>
      <w:pPr>
        <w:spacing w:line="560" w:lineRule="exact"/>
        <w:ind w:firstLine="420" w:firstLineChars="150"/>
        <w:jc w:val="left"/>
      </w:pPr>
      <w:r>
        <w:rPr>
          <w:rFonts w:hint="eastAsia" w:ascii="楷体" w:hAnsi="楷体" w:eastAsia="楷体"/>
          <w:sz w:val="28"/>
        </w:rPr>
        <w:t>（上、下半年代表作前各附1张）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OGU1OTg0NDUzOTA3MmY0M2UwMjIyM2YxZDdiYTcifQ=="/>
  </w:docVars>
  <w:rsids>
    <w:rsidRoot w:val="2B5B5446"/>
    <w:rsid w:val="17CC412A"/>
    <w:rsid w:val="2B5B5446"/>
    <w:rsid w:val="64082FEC"/>
    <w:rsid w:val="65220FCF"/>
    <w:rsid w:val="70AD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2024-04-06T07:40:00Z</dcterms:created>
  <dc:creator>刘学</dc:creator>
  <cp:lastModifiedBy>江畔珞珈</cp:lastModifiedBy>
  <dcterms:modified xsi:type="dcterms:W3CDTF">2024-04-08T08:17:33Z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86568970BD1D4607A33D249B46E5319A_13</vt:lpwstr>
  </property>
</Properties>
</file>